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6E84" w14:textId="77777777" w:rsidR="00FC55DC" w:rsidRPr="00206147" w:rsidRDefault="00FC55DC" w:rsidP="00FC55DC">
      <w:pPr>
        <w:spacing w:after="0" w:line="240" w:lineRule="auto"/>
        <w:jc w:val="cente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b/>
          <w:bCs/>
          <w:sz w:val="24"/>
          <w:szCs w:val="24"/>
        </w:rPr>
        <w:t>COUNCIL ON SOCIAL WORK EDUCATION - FORM AS 4(B)</w:t>
      </w:r>
      <w:r w:rsidRPr="00206147">
        <w:rPr>
          <w:rFonts w:ascii="Times New Roman" w:eastAsia="Times New Roman" w:hAnsi="Times New Roman" w:cs="Times New Roman"/>
          <w:sz w:val="24"/>
          <w:szCs w:val="24"/>
        </w:rPr>
        <w:t> </w:t>
      </w:r>
    </w:p>
    <w:p w14:paraId="1ACE8B35" w14:textId="7777777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p>
    <w:p w14:paraId="00BF2E26" w14:textId="7777777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KING UNIVERSITY</w:t>
      </w:r>
    </w:p>
    <w:p w14:paraId="415A1CA1" w14:textId="7777777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 xml:space="preserve"> BACCALAUREATE SOCIAL WORK PROGRAM</w:t>
      </w:r>
    </w:p>
    <w:p w14:paraId="39092881" w14:textId="7777777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p>
    <w:p w14:paraId="2F639DE7" w14:textId="7777777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ASSESSMENT OF STUDENT LEARNING OUTCOMES</w:t>
      </w:r>
    </w:p>
    <w:p w14:paraId="1BAD73DF" w14:textId="34D72217" w:rsidR="00FC55DC" w:rsidRPr="00206147" w:rsidRDefault="00FC55DC" w:rsidP="00FC55D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 xml:space="preserve">LAST COMPLETED ON </w:t>
      </w:r>
      <w:r w:rsidR="006F2D49">
        <w:rPr>
          <w:rFonts w:ascii="Times New Roman" w:eastAsia="Calibri" w:hAnsi="Times New Roman" w:cs="Times New Roman"/>
          <w:b/>
          <w:bCs/>
          <w:spacing w:val="-3"/>
          <w:sz w:val="24"/>
          <w:szCs w:val="24"/>
        </w:rPr>
        <w:t>MAY</w:t>
      </w:r>
      <w:r w:rsidRPr="00206147">
        <w:rPr>
          <w:rFonts w:ascii="Times New Roman" w:eastAsia="Calibri" w:hAnsi="Times New Roman" w:cs="Times New Roman"/>
          <w:b/>
          <w:bCs/>
          <w:spacing w:val="-3"/>
          <w:sz w:val="24"/>
          <w:szCs w:val="24"/>
        </w:rPr>
        <w:t xml:space="preserve"> </w:t>
      </w:r>
      <w:r w:rsidR="006F2D49">
        <w:rPr>
          <w:rFonts w:ascii="Times New Roman" w:eastAsia="Calibri" w:hAnsi="Times New Roman" w:cs="Times New Roman"/>
          <w:b/>
          <w:bCs/>
          <w:spacing w:val="-3"/>
          <w:sz w:val="24"/>
          <w:szCs w:val="24"/>
        </w:rPr>
        <w:t>2</w:t>
      </w:r>
      <w:r w:rsidR="00572DDD">
        <w:rPr>
          <w:rFonts w:ascii="Times New Roman" w:eastAsia="Calibri" w:hAnsi="Times New Roman" w:cs="Times New Roman"/>
          <w:b/>
          <w:bCs/>
          <w:spacing w:val="-3"/>
          <w:sz w:val="24"/>
          <w:szCs w:val="24"/>
        </w:rPr>
        <w:t>2,</w:t>
      </w:r>
      <w:r w:rsidRPr="00206147">
        <w:rPr>
          <w:rFonts w:ascii="Times New Roman" w:eastAsia="Calibri" w:hAnsi="Times New Roman" w:cs="Times New Roman"/>
          <w:b/>
          <w:bCs/>
          <w:spacing w:val="-3"/>
          <w:sz w:val="24"/>
          <w:szCs w:val="24"/>
        </w:rPr>
        <w:t xml:space="preserve"> 202</w:t>
      </w:r>
      <w:r w:rsidR="006F2D49">
        <w:rPr>
          <w:rFonts w:ascii="Times New Roman" w:eastAsia="Calibri" w:hAnsi="Times New Roman" w:cs="Times New Roman"/>
          <w:b/>
          <w:bCs/>
          <w:spacing w:val="-3"/>
          <w:sz w:val="24"/>
          <w:szCs w:val="24"/>
        </w:rPr>
        <w:t>3</w:t>
      </w:r>
    </w:p>
    <w:p w14:paraId="6842FA64" w14:textId="77777777" w:rsidR="00FC55DC" w:rsidRPr="00206147" w:rsidRDefault="00FC55DC" w:rsidP="00FC55DC">
      <w:pPr>
        <w:spacing w:after="0" w:line="240" w:lineRule="auto"/>
        <w:jc w:val="center"/>
        <w:textAlignment w:val="baseline"/>
        <w:rPr>
          <w:rFonts w:ascii="Times New Roman" w:eastAsia="Calibri" w:hAnsi="Times New Roman" w:cs="Times New Roman"/>
          <w:b/>
          <w:spacing w:val="-3"/>
          <w:sz w:val="24"/>
          <w:szCs w:val="24"/>
        </w:rPr>
      </w:pPr>
    </w:p>
    <w:p w14:paraId="6C8CB9FF" w14:textId="77777777" w:rsidR="00FC55DC" w:rsidRPr="00206147" w:rsidRDefault="00FC55DC" w:rsidP="00FC55DC">
      <w:pPr>
        <w:spacing w:after="0" w:line="240" w:lineRule="auto"/>
        <w:jc w:val="center"/>
        <w:textAlignment w:val="baseline"/>
        <w:rPr>
          <w:rFonts w:ascii="Times New Roman" w:eastAsia="Times New Roman" w:hAnsi="Times New Roman" w:cs="Times New Roman"/>
          <w:b/>
          <w:sz w:val="24"/>
          <w:szCs w:val="24"/>
        </w:rPr>
      </w:pPr>
      <w:r w:rsidRPr="00206147">
        <w:rPr>
          <w:rFonts w:ascii="Times New Roman" w:eastAsia="Calibri" w:hAnsi="Times New Roman" w:cs="Times New Roman"/>
          <w:b/>
          <w:spacing w:val="-3"/>
          <w:sz w:val="24"/>
          <w:szCs w:val="24"/>
        </w:rPr>
        <w:t>Summary of the Program’s Assessment Plan |</w:t>
      </w:r>
      <w:r w:rsidRPr="00206147">
        <w:rPr>
          <w:rFonts w:ascii="Times New Roman" w:eastAsia="Times New Roman" w:hAnsi="Times New Roman" w:cs="Times New Roman"/>
          <w:b/>
          <w:sz w:val="24"/>
          <w:szCs w:val="24"/>
        </w:rPr>
        <w:t xml:space="preserve"> Generalist Practice</w:t>
      </w:r>
    </w:p>
    <w:p w14:paraId="6DC86C83" w14:textId="77777777" w:rsidR="00FC55DC" w:rsidRPr="00206147" w:rsidRDefault="00FC55DC" w:rsidP="00FC55DC">
      <w:pPr>
        <w:spacing w:after="0" w:line="240" w:lineRule="auto"/>
        <w:rPr>
          <w:rFonts w:ascii="Times New Roman" w:eastAsia="Calibri" w:hAnsi="Times New Roman" w:cs="Times New Roman"/>
          <w:spacing w:val="-3"/>
          <w:sz w:val="24"/>
          <w:szCs w:val="24"/>
        </w:rPr>
      </w:pPr>
    </w:p>
    <w:p w14:paraId="3CF7C79D" w14:textId="77777777" w:rsidR="00FC55DC" w:rsidRPr="00206147" w:rsidRDefault="00FC55DC" w:rsidP="00FC55DC">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spacing w:val="-3"/>
          <w:sz w:val="24"/>
          <w:szCs w:val="24"/>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08B1ACC7" w14:textId="77777777" w:rsidR="00FC55DC" w:rsidRPr="00206147" w:rsidRDefault="00FC55DC" w:rsidP="00FC55DC">
      <w:pPr>
        <w:spacing w:after="0" w:line="240" w:lineRule="auto"/>
        <w:textAlignment w:val="baseline"/>
        <w:rPr>
          <w:rFonts w:ascii="Times New Roman" w:eastAsia="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9536"/>
        <w:gridCol w:w="4566"/>
      </w:tblGrid>
      <w:tr w:rsidR="00FC55DC" w:rsidRPr="00206147" w14:paraId="21205969" w14:textId="77777777" w:rsidTr="00206147">
        <w:trPr>
          <w:jc w:val="center"/>
        </w:trPr>
        <w:tc>
          <w:tcPr>
            <w:tcW w:w="5000" w:type="pct"/>
            <w:gridSpan w:val="2"/>
            <w:shd w:val="clear" w:color="auto" w:fill="EEECE1" w:themeFill="background2"/>
          </w:tcPr>
          <w:p w14:paraId="233E007F" w14:textId="6CA44BB4" w:rsidR="00FC55DC" w:rsidRPr="00206147" w:rsidRDefault="00FC55DC" w:rsidP="009D5E86">
            <w:pPr>
              <w:jc w:val="center"/>
              <w:textAlignment w:val="baseline"/>
              <w:rPr>
                <w:rFonts w:ascii="Times New Roman" w:eastAsia="Times New Roman" w:hAnsi="Times New Roman" w:cs="Times New Roman"/>
                <w:b/>
                <w:sz w:val="24"/>
                <w:szCs w:val="24"/>
              </w:rPr>
            </w:pPr>
            <w:r w:rsidRPr="00206147">
              <w:rPr>
                <w:rFonts w:ascii="Times New Roman" w:eastAsia="Times New Roman" w:hAnsi="Times New Roman" w:cs="Times New Roman"/>
                <w:b/>
                <w:sz w:val="24"/>
                <w:szCs w:val="24"/>
              </w:rPr>
              <w:t xml:space="preserve">Assessment Measure #1: (BSW Comprehensive </w:t>
            </w:r>
            <w:r w:rsidR="001B4878">
              <w:rPr>
                <w:rFonts w:ascii="Times New Roman" w:eastAsia="Times New Roman" w:hAnsi="Times New Roman" w:cs="Times New Roman"/>
                <w:b/>
                <w:sz w:val="24"/>
                <w:szCs w:val="24"/>
              </w:rPr>
              <w:t xml:space="preserve">Assessment </w:t>
            </w:r>
            <w:r w:rsidRPr="00206147">
              <w:rPr>
                <w:rFonts w:ascii="Times New Roman" w:eastAsia="Times New Roman" w:hAnsi="Times New Roman" w:cs="Times New Roman"/>
                <w:b/>
                <w:sz w:val="24"/>
                <w:szCs w:val="24"/>
              </w:rPr>
              <w:t>Exam)</w:t>
            </w:r>
          </w:p>
          <w:p w14:paraId="1CA5D670" w14:textId="77777777" w:rsidR="00131BAC" w:rsidRPr="00206147" w:rsidRDefault="00131BAC" w:rsidP="009D5E86">
            <w:pPr>
              <w:jc w:val="center"/>
              <w:textAlignment w:val="baseline"/>
              <w:rPr>
                <w:rFonts w:ascii="Times New Roman" w:eastAsia="Times New Roman" w:hAnsi="Times New Roman" w:cs="Times New Roman"/>
                <w:b/>
                <w:sz w:val="24"/>
                <w:szCs w:val="24"/>
              </w:rPr>
            </w:pPr>
          </w:p>
        </w:tc>
      </w:tr>
      <w:tr w:rsidR="00206147" w:rsidRPr="00206147" w14:paraId="24B72D5A" w14:textId="77777777" w:rsidTr="00F3188D">
        <w:trPr>
          <w:jc w:val="center"/>
        </w:trPr>
        <w:tc>
          <w:tcPr>
            <w:tcW w:w="3381" w:type="pct"/>
          </w:tcPr>
          <w:p w14:paraId="7B1D5302" w14:textId="1B4FA6E5" w:rsidR="00206147" w:rsidRPr="00206147" w:rsidRDefault="00206147"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Competency(ies) assessed</w:t>
            </w:r>
          </w:p>
        </w:tc>
        <w:tc>
          <w:tcPr>
            <w:tcW w:w="1619" w:type="pct"/>
          </w:tcPr>
          <w:p w14:paraId="2F066E03" w14:textId="32B6D5FF" w:rsidR="00206147" w:rsidRPr="00206147" w:rsidRDefault="00206147" w:rsidP="009D5E86">
            <w:pPr>
              <w:textAlignment w:val="baseline"/>
              <w:rPr>
                <w:rFonts w:ascii="Times New Roman" w:hAnsi="Times New Roman" w:cs="Times New Roman"/>
                <w:sz w:val="24"/>
                <w:szCs w:val="24"/>
              </w:rPr>
            </w:pPr>
            <w:r w:rsidRPr="00206147">
              <w:rPr>
                <w:rFonts w:ascii="Times New Roman" w:eastAsia="Times New Roman" w:hAnsi="Times New Roman" w:cs="Times New Roman"/>
                <w:sz w:val="24"/>
                <w:szCs w:val="24"/>
              </w:rPr>
              <w:t>2015 EPAS; All</w:t>
            </w:r>
          </w:p>
        </w:tc>
      </w:tr>
      <w:tr w:rsidR="00FC55DC" w:rsidRPr="00206147" w14:paraId="712BD31F" w14:textId="77777777" w:rsidTr="00F3188D">
        <w:trPr>
          <w:jc w:val="center"/>
        </w:trPr>
        <w:tc>
          <w:tcPr>
            <w:tcW w:w="3381" w:type="pct"/>
          </w:tcPr>
          <w:p w14:paraId="7112D900"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Dimension(s) assessed:</w:t>
            </w:r>
          </w:p>
        </w:tc>
        <w:tc>
          <w:tcPr>
            <w:tcW w:w="1619" w:type="pct"/>
          </w:tcPr>
          <w:p w14:paraId="7B1BB641"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hAnsi="Times New Roman" w:cs="Times New Roman"/>
                <w:sz w:val="24"/>
                <w:szCs w:val="24"/>
              </w:rPr>
              <w:t>Knowledge, Skills, Values, Cognitive and Affective Processes</w:t>
            </w:r>
          </w:p>
        </w:tc>
      </w:tr>
      <w:tr w:rsidR="00FC55DC" w:rsidRPr="00206147" w14:paraId="38BBC0EC" w14:textId="77777777" w:rsidTr="00F3188D">
        <w:trPr>
          <w:jc w:val="center"/>
        </w:trPr>
        <w:tc>
          <w:tcPr>
            <w:tcW w:w="3381" w:type="pct"/>
          </w:tcPr>
          <w:p w14:paraId="394F41AD"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When/where students are assessed:</w:t>
            </w:r>
          </w:p>
        </w:tc>
        <w:tc>
          <w:tcPr>
            <w:tcW w:w="1619" w:type="pct"/>
          </w:tcPr>
          <w:p w14:paraId="3097559A"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The BSW Comprehensive Exam is assessed on Canvas in the SOWK 4990 course during student’s final semester in the BSW Program.  </w:t>
            </w:r>
          </w:p>
        </w:tc>
      </w:tr>
      <w:tr w:rsidR="00FC55DC" w:rsidRPr="00206147" w14:paraId="24EA5804" w14:textId="77777777" w:rsidTr="00F3188D">
        <w:trPr>
          <w:jc w:val="center"/>
        </w:trPr>
        <w:tc>
          <w:tcPr>
            <w:tcW w:w="3381" w:type="pct"/>
          </w:tcPr>
          <w:p w14:paraId="15E4FE9F"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Who assessed student competence:</w:t>
            </w:r>
          </w:p>
        </w:tc>
        <w:tc>
          <w:tcPr>
            <w:tcW w:w="1619" w:type="pct"/>
          </w:tcPr>
          <w:p w14:paraId="0D08C7EC"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BSW Program Coordinator and Field Education Director</w:t>
            </w:r>
          </w:p>
        </w:tc>
      </w:tr>
      <w:tr w:rsidR="00FC55DC" w:rsidRPr="00206147" w14:paraId="769BAD4C" w14:textId="77777777" w:rsidTr="00F3188D">
        <w:trPr>
          <w:jc w:val="center"/>
        </w:trPr>
        <w:tc>
          <w:tcPr>
            <w:tcW w:w="3381" w:type="pct"/>
          </w:tcPr>
          <w:p w14:paraId="4D3F5C88"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Outcome Measure Benchmark (minimum score indicative of achievement) for Competencies 1-9: </w:t>
            </w:r>
          </w:p>
        </w:tc>
        <w:tc>
          <w:tcPr>
            <w:tcW w:w="1619" w:type="pct"/>
          </w:tcPr>
          <w:p w14:paraId="12CDA766" w14:textId="136AD71F" w:rsidR="00FC55DC" w:rsidRPr="00206147" w:rsidRDefault="006F2D49" w:rsidP="009D5E86">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FC55DC" w:rsidRPr="00206147">
              <w:rPr>
                <w:rFonts w:ascii="Times New Roman" w:eastAsia="Times New Roman" w:hAnsi="Times New Roman" w:cs="Times New Roman"/>
                <w:sz w:val="24"/>
                <w:szCs w:val="24"/>
              </w:rPr>
              <w:t>%</w:t>
            </w:r>
          </w:p>
        </w:tc>
      </w:tr>
      <w:tr w:rsidR="00FC55DC" w:rsidRPr="00206147" w14:paraId="3528C0BE" w14:textId="77777777" w:rsidTr="00F3188D">
        <w:trPr>
          <w:jc w:val="center"/>
        </w:trPr>
        <w:tc>
          <w:tcPr>
            <w:tcW w:w="3381" w:type="pct"/>
          </w:tcPr>
          <w:p w14:paraId="4D54341F" w14:textId="4212DBF5"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Competency Benchmark (percent of students the program expects to have achieved the minimum scores, inclusive of all measures) for </w:t>
            </w:r>
            <w:r w:rsidR="00206147">
              <w:rPr>
                <w:rFonts w:ascii="Times New Roman" w:eastAsia="Times New Roman" w:hAnsi="Times New Roman" w:cs="Times New Roman"/>
                <w:sz w:val="24"/>
                <w:szCs w:val="24"/>
              </w:rPr>
              <w:t xml:space="preserve">2015 </w:t>
            </w:r>
            <w:r w:rsidRPr="00206147">
              <w:rPr>
                <w:rFonts w:ascii="Times New Roman" w:eastAsia="Times New Roman" w:hAnsi="Times New Roman" w:cs="Times New Roman"/>
                <w:sz w:val="24"/>
                <w:szCs w:val="24"/>
              </w:rPr>
              <w:t>Competencies 1-9:</w:t>
            </w:r>
          </w:p>
        </w:tc>
        <w:tc>
          <w:tcPr>
            <w:tcW w:w="1619" w:type="pct"/>
          </w:tcPr>
          <w:p w14:paraId="32605850"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75%</w:t>
            </w:r>
          </w:p>
        </w:tc>
      </w:tr>
      <w:tr w:rsidR="00FC55DC" w:rsidRPr="00206147" w14:paraId="2EAB87CA" w14:textId="77777777" w:rsidTr="00206147">
        <w:trPr>
          <w:jc w:val="center"/>
        </w:trPr>
        <w:tc>
          <w:tcPr>
            <w:tcW w:w="5000" w:type="pct"/>
            <w:gridSpan w:val="2"/>
            <w:shd w:val="clear" w:color="auto" w:fill="EEECE1" w:themeFill="background2"/>
          </w:tcPr>
          <w:p w14:paraId="7776FE08" w14:textId="77777777" w:rsidR="00FC55DC" w:rsidRPr="00206147" w:rsidRDefault="00FC55DC" w:rsidP="009D5E86">
            <w:pPr>
              <w:jc w:val="center"/>
              <w:textAlignment w:val="baseline"/>
              <w:rPr>
                <w:rFonts w:ascii="Times New Roman" w:eastAsia="Times New Roman" w:hAnsi="Times New Roman" w:cs="Times New Roman"/>
                <w:b/>
                <w:sz w:val="24"/>
                <w:szCs w:val="24"/>
              </w:rPr>
            </w:pPr>
            <w:r w:rsidRPr="00206147">
              <w:rPr>
                <w:rFonts w:ascii="Times New Roman" w:eastAsia="Times New Roman" w:hAnsi="Times New Roman" w:cs="Times New Roman"/>
                <w:b/>
                <w:sz w:val="24"/>
                <w:szCs w:val="24"/>
              </w:rPr>
              <w:t>Assessment Measure #2: (Final Field Evaluation)</w:t>
            </w:r>
          </w:p>
          <w:p w14:paraId="2AFC5DE9" w14:textId="77777777" w:rsidR="00131BAC" w:rsidRPr="00206147" w:rsidRDefault="00131BAC" w:rsidP="009D5E86">
            <w:pPr>
              <w:jc w:val="center"/>
              <w:textAlignment w:val="baseline"/>
              <w:rPr>
                <w:rFonts w:ascii="Times New Roman" w:eastAsia="Times New Roman" w:hAnsi="Times New Roman" w:cs="Times New Roman"/>
                <w:b/>
                <w:sz w:val="24"/>
                <w:szCs w:val="24"/>
              </w:rPr>
            </w:pPr>
          </w:p>
        </w:tc>
      </w:tr>
      <w:tr w:rsidR="00206147" w:rsidRPr="00206147" w14:paraId="63048E38" w14:textId="77777777" w:rsidTr="00F3188D">
        <w:trPr>
          <w:jc w:val="center"/>
        </w:trPr>
        <w:tc>
          <w:tcPr>
            <w:tcW w:w="3381" w:type="pct"/>
          </w:tcPr>
          <w:p w14:paraId="0BDC4360" w14:textId="3562DC73" w:rsidR="00206147" w:rsidRPr="00206147" w:rsidRDefault="00206147" w:rsidP="00206147">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Competency(ies) assessed</w:t>
            </w:r>
          </w:p>
        </w:tc>
        <w:tc>
          <w:tcPr>
            <w:tcW w:w="1619" w:type="pct"/>
          </w:tcPr>
          <w:p w14:paraId="1C116962" w14:textId="2CB0066A" w:rsidR="00206147" w:rsidRPr="00206147" w:rsidRDefault="00206147" w:rsidP="00206147">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2015 EPAS; All</w:t>
            </w:r>
          </w:p>
        </w:tc>
      </w:tr>
      <w:tr w:rsidR="00FC55DC" w:rsidRPr="00206147" w14:paraId="389C0F9D" w14:textId="77777777" w:rsidTr="00F3188D">
        <w:trPr>
          <w:jc w:val="center"/>
        </w:trPr>
        <w:tc>
          <w:tcPr>
            <w:tcW w:w="3381" w:type="pct"/>
          </w:tcPr>
          <w:p w14:paraId="0585298D"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Dimension(s) assessed:</w:t>
            </w:r>
          </w:p>
        </w:tc>
        <w:tc>
          <w:tcPr>
            <w:tcW w:w="1619" w:type="pct"/>
          </w:tcPr>
          <w:p w14:paraId="6097BF8B"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Skills, Knowledge, Values, Cognitive and Affective Processes</w:t>
            </w:r>
          </w:p>
        </w:tc>
      </w:tr>
      <w:tr w:rsidR="00FC55DC" w:rsidRPr="00206147" w14:paraId="64CB8D9D" w14:textId="77777777" w:rsidTr="00F3188D">
        <w:trPr>
          <w:jc w:val="center"/>
        </w:trPr>
        <w:tc>
          <w:tcPr>
            <w:tcW w:w="3381" w:type="pct"/>
          </w:tcPr>
          <w:p w14:paraId="560FC4E3"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When/where students are assessed:</w:t>
            </w:r>
          </w:p>
        </w:tc>
        <w:tc>
          <w:tcPr>
            <w:tcW w:w="1619" w:type="pct"/>
          </w:tcPr>
          <w:p w14:paraId="360123EA"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Assessed on Canvas during student’s final semester in the BSW Program while in the practicum component and associated SOWK 4800 course.  </w:t>
            </w:r>
          </w:p>
        </w:tc>
      </w:tr>
      <w:tr w:rsidR="00FC55DC" w:rsidRPr="00206147" w14:paraId="7BF7562A" w14:textId="77777777" w:rsidTr="00F3188D">
        <w:trPr>
          <w:jc w:val="center"/>
        </w:trPr>
        <w:tc>
          <w:tcPr>
            <w:tcW w:w="3381" w:type="pct"/>
          </w:tcPr>
          <w:p w14:paraId="7004B66B"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lastRenderedPageBreak/>
              <w:t>Who assessed student competence:</w:t>
            </w:r>
          </w:p>
        </w:tc>
        <w:tc>
          <w:tcPr>
            <w:tcW w:w="1619" w:type="pct"/>
          </w:tcPr>
          <w:p w14:paraId="7FD726C5" w14:textId="7777664A" w:rsidR="00FC55DC" w:rsidRPr="00206147" w:rsidRDefault="006F2D49"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BSW Program Coordinator </w:t>
            </w:r>
            <w:r>
              <w:rPr>
                <w:rFonts w:ascii="Times New Roman" w:eastAsia="Times New Roman" w:hAnsi="Times New Roman" w:cs="Times New Roman"/>
                <w:sz w:val="24"/>
                <w:szCs w:val="24"/>
              </w:rPr>
              <w:t xml:space="preserve">and </w:t>
            </w:r>
            <w:r w:rsidR="00FC55DC" w:rsidRPr="00206147">
              <w:rPr>
                <w:rFonts w:ascii="Times New Roman" w:eastAsia="Times New Roman" w:hAnsi="Times New Roman" w:cs="Times New Roman"/>
                <w:sz w:val="24"/>
                <w:szCs w:val="24"/>
              </w:rPr>
              <w:t>Field Education Director</w:t>
            </w:r>
          </w:p>
        </w:tc>
      </w:tr>
      <w:tr w:rsidR="00FC55DC" w:rsidRPr="00206147" w14:paraId="1AA616B3" w14:textId="77777777" w:rsidTr="00F3188D">
        <w:trPr>
          <w:jc w:val="center"/>
        </w:trPr>
        <w:tc>
          <w:tcPr>
            <w:tcW w:w="3381" w:type="pct"/>
          </w:tcPr>
          <w:p w14:paraId="5AB17A2C"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 xml:space="preserve">Outcome Measure Benchmark (minimum score indicative of achievement) for Competencies 1-9: </w:t>
            </w:r>
          </w:p>
        </w:tc>
        <w:tc>
          <w:tcPr>
            <w:tcW w:w="1619" w:type="pct"/>
          </w:tcPr>
          <w:p w14:paraId="65A8DFFF"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75%</w:t>
            </w:r>
          </w:p>
        </w:tc>
      </w:tr>
      <w:tr w:rsidR="00FC55DC" w:rsidRPr="00206147" w14:paraId="6E0265B3" w14:textId="77777777" w:rsidTr="00F3188D">
        <w:trPr>
          <w:jc w:val="center"/>
        </w:trPr>
        <w:tc>
          <w:tcPr>
            <w:tcW w:w="3381" w:type="pct"/>
          </w:tcPr>
          <w:p w14:paraId="70C19B6E" w14:textId="3CB8A02E"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Competency Benchmark (percent of students the program expects to have achieved the minimum scores, inclusive of all measures) for</w:t>
            </w:r>
            <w:r w:rsidR="00206147">
              <w:rPr>
                <w:rFonts w:ascii="Times New Roman" w:eastAsia="Times New Roman" w:hAnsi="Times New Roman" w:cs="Times New Roman"/>
                <w:sz w:val="24"/>
                <w:szCs w:val="24"/>
              </w:rPr>
              <w:t xml:space="preserve"> 2015</w:t>
            </w:r>
            <w:r w:rsidRPr="00206147">
              <w:rPr>
                <w:rFonts w:ascii="Times New Roman" w:eastAsia="Times New Roman" w:hAnsi="Times New Roman" w:cs="Times New Roman"/>
                <w:sz w:val="24"/>
                <w:szCs w:val="24"/>
              </w:rPr>
              <w:t xml:space="preserve"> Competencies 1-9:</w:t>
            </w:r>
          </w:p>
        </w:tc>
        <w:tc>
          <w:tcPr>
            <w:tcW w:w="1619" w:type="pct"/>
          </w:tcPr>
          <w:p w14:paraId="4E74B2F6" w14:textId="77777777" w:rsidR="00FC55DC" w:rsidRPr="00206147" w:rsidRDefault="00FC55DC" w:rsidP="009D5E86">
            <w:pP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sz w:val="24"/>
                <w:szCs w:val="24"/>
              </w:rPr>
              <w:t>75%</w:t>
            </w:r>
          </w:p>
        </w:tc>
      </w:tr>
    </w:tbl>
    <w:p w14:paraId="6D04782A" w14:textId="77777777" w:rsidR="00FC55DC" w:rsidRPr="00206147" w:rsidRDefault="00FC55DC" w:rsidP="00FC55DC">
      <w:pPr>
        <w:spacing w:after="0" w:line="240" w:lineRule="auto"/>
        <w:jc w:val="center"/>
        <w:rPr>
          <w:rFonts w:ascii="Times New Roman" w:hAnsi="Times New Roman" w:cs="Times New Roman"/>
          <w:b/>
          <w:bCs/>
          <w:sz w:val="24"/>
          <w:szCs w:val="24"/>
        </w:rPr>
      </w:pPr>
    </w:p>
    <w:p w14:paraId="5F82D213" w14:textId="77777777" w:rsidR="00FC55DC" w:rsidRPr="00206147" w:rsidRDefault="00FC55DC" w:rsidP="00FC55DC">
      <w:pPr>
        <w:spacing w:after="0" w:line="240" w:lineRule="auto"/>
        <w:jc w:val="center"/>
        <w:textAlignment w:val="baseline"/>
        <w:rPr>
          <w:rFonts w:ascii="Times New Roman" w:eastAsia="Times New Roman" w:hAnsi="Times New Roman" w:cs="Times New Roman"/>
          <w:b/>
          <w:bCs/>
          <w:sz w:val="24"/>
          <w:szCs w:val="24"/>
        </w:rPr>
      </w:pPr>
      <w:r w:rsidRPr="00206147">
        <w:rPr>
          <w:rFonts w:ascii="Times New Roman" w:hAnsi="Times New Roman" w:cs="Times New Roman"/>
          <w:b/>
          <w:bCs/>
          <w:sz w:val="24"/>
          <w:szCs w:val="24"/>
        </w:rPr>
        <w:br w:type="page"/>
      </w:r>
    </w:p>
    <w:p w14:paraId="38C2159E" w14:textId="77777777" w:rsidR="00FC55DC" w:rsidRPr="00206147" w:rsidRDefault="00FC55DC" w:rsidP="005120FC">
      <w:pPr>
        <w:spacing w:after="0" w:line="240" w:lineRule="auto"/>
        <w:jc w:val="center"/>
        <w:textAlignment w:val="baseline"/>
        <w:rPr>
          <w:rFonts w:ascii="Times New Roman" w:eastAsia="Times New Roman" w:hAnsi="Times New Roman" w:cs="Times New Roman"/>
          <w:b/>
          <w:bCs/>
          <w:sz w:val="24"/>
          <w:szCs w:val="24"/>
        </w:rPr>
      </w:pPr>
    </w:p>
    <w:p w14:paraId="08C42BC3" w14:textId="77777777" w:rsidR="005120FC" w:rsidRPr="00206147" w:rsidRDefault="005120FC" w:rsidP="005120FC">
      <w:pPr>
        <w:spacing w:after="0" w:line="240" w:lineRule="auto"/>
        <w:jc w:val="center"/>
        <w:textAlignment w:val="baseline"/>
        <w:rPr>
          <w:rFonts w:ascii="Times New Roman" w:eastAsia="Times New Roman" w:hAnsi="Times New Roman" w:cs="Times New Roman"/>
          <w:sz w:val="24"/>
          <w:szCs w:val="24"/>
        </w:rPr>
      </w:pPr>
      <w:r w:rsidRPr="00206147">
        <w:rPr>
          <w:rFonts w:ascii="Times New Roman" w:eastAsia="Times New Roman" w:hAnsi="Times New Roman" w:cs="Times New Roman"/>
          <w:b/>
          <w:bCs/>
          <w:sz w:val="24"/>
          <w:szCs w:val="24"/>
        </w:rPr>
        <w:t>COUNCIL ON SOCIAL WORK EDUCATION - FORM AS 4(B)</w:t>
      </w:r>
      <w:r w:rsidRPr="00206147">
        <w:rPr>
          <w:rFonts w:ascii="Times New Roman" w:eastAsia="Times New Roman" w:hAnsi="Times New Roman" w:cs="Times New Roman"/>
          <w:sz w:val="24"/>
          <w:szCs w:val="24"/>
        </w:rPr>
        <w:t> </w:t>
      </w:r>
    </w:p>
    <w:p w14:paraId="68CF97C0" w14:textId="77777777" w:rsidR="005120FC" w:rsidRPr="00206147" w:rsidRDefault="005120FC" w:rsidP="001F180C">
      <w:pPr>
        <w:spacing w:after="0" w:line="240" w:lineRule="auto"/>
        <w:jc w:val="center"/>
        <w:rPr>
          <w:rFonts w:ascii="Times New Roman" w:eastAsia="Calibri" w:hAnsi="Times New Roman" w:cs="Times New Roman"/>
          <w:b/>
          <w:bCs/>
          <w:spacing w:val="-3"/>
          <w:sz w:val="24"/>
          <w:szCs w:val="24"/>
        </w:rPr>
      </w:pPr>
    </w:p>
    <w:p w14:paraId="7EFD9EA0" w14:textId="77777777" w:rsidR="00AD7B43" w:rsidRPr="00206147" w:rsidRDefault="00AD7B43" w:rsidP="001F180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KING UNIVERSITY</w:t>
      </w:r>
    </w:p>
    <w:p w14:paraId="62BB6652" w14:textId="77777777" w:rsidR="001F180C" w:rsidRPr="00206147" w:rsidRDefault="001F180C" w:rsidP="001F180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 xml:space="preserve"> BACCALAUREATE SOCIAL WORK PROGRAM</w:t>
      </w:r>
    </w:p>
    <w:p w14:paraId="4A513DEB" w14:textId="77777777" w:rsidR="001F180C" w:rsidRPr="00206147" w:rsidRDefault="001F180C" w:rsidP="001F180C">
      <w:pPr>
        <w:spacing w:after="0" w:line="240" w:lineRule="auto"/>
        <w:jc w:val="center"/>
        <w:rPr>
          <w:rFonts w:ascii="Times New Roman" w:eastAsia="Calibri" w:hAnsi="Times New Roman" w:cs="Times New Roman"/>
          <w:b/>
          <w:bCs/>
          <w:spacing w:val="-3"/>
          <w:sz w:val="24"/>
          <w:szCs w:val="24"/>
        </w:rPr>
      </w:pPr>
    </w:p>
    <w:p w14:paraId="29C129F4" w14:textId="77777777" w:rsidR="001F180C" w:rsidRPr="00206147" w:rsidRDefault="001F180C" w:rsidP="001F180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ASSESSMENT OF STUDENT LEARNING OUTCOMES</w:t>
      </w:r>
    </w:p>
    <w:p w14:paraId="7273375A" w14:textId="25F0C5A1" w:rsidR="001F180C" w:rsidRPr="00206147" w:rsidRDefault="003F42E0" w:rsidP="001F180C">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LAST COMPLETED ON</w:t>
      </w:r>
      <w:r w:rsidR="007508EB">
        <w:rPr>
          <w:rFonts w:ascii="Times New Roman" w:eastAsia="Calibri" w:hAnsi="Times New Roman" w:cs="Times New Roman"/>
          <w:b/>
          <w:bCs/>
          <w:spacing w:val="-3"/>
          <w:sz w:val="24"/>
          <w:szCs w:val="24"/>
        </w:rPr>
        <w:t xml:space="preserve"> MAY</w:t>
      </w:r>
      <w:r w:rsidRPr="00206147">
        <w:rPr>
          <w:rFonts w:ascii="Times New Roman" w:eastAsia="Calibri" w:hAnsi="Times New Roman" w:cs="Times New Roman"/>
          <w:b/>
          <w:bCs/>
          <w:spacing w:val="-3"/>
          <w:sz w:val="24"/>
          <w:szCs w:val="24"/>
        </w:rPr>
        <w:t xml:space="preserve"> </w:t>
      </w:r>
      <w:r w:rsidR="00572DDD">
        <w:rPr>
          <w:rFonts w:ascii="Times New Roman" w:eastAsia="Calibri" w:hAnsi="Times New Roman" w:cs="Times New Roman"/>
          <w:b/>
          <w:bCs/>
          <w:spacing w:val="-3"/>
          <w:sz w:val="24"/>
          <w:szCs w:val="24"/>
        </w:rPr>
        <w:t>22</w:t>
      </w:r>
      <w:r w:rsidRPr="00206147">
        <w:rPr>
          <w:rFonts w:ascii="Times New Roman" w:eastAsia="Calibri" w:hAnsi="Times New Roman" w:cs="Times New Roman"/>
          <w:b/>
          <w:bCs/>
          <w:spacing w:val="-3"/>
          <w:sz w:val="24"/>
          <w:szCs w:val="24"/>
        </w:rPr>
        <w:t xml:space="preserve">, </w:t>
      </w:r>
      <w:r w:rsidR="00C15383" w:rsidRPr="00206147">
        <w:rPr>
          <w:rFonts w:ascii="Times New Roman" w:eastAsia="Calibri" w:hAnsi="Times New Roman" w:cs="Times New Roman"/>
          <w:b/>
          <w:bCs/>
          <w:spacing w:val="-3"/>
          <w:sz w:val="24"/>
          <w:szCs w:val="24"/>
        </w:rPr>
        <w:t>202</w:t>
      </w:r>
      <w:r w:rsidR="007508EB">
        <w:rPr>
          <w:rFonts w:ascii="Times New Roman" w:eastAsia="Calibri" w:hAnsi="Times New Roman" w:cs="Times New Roman"/>
          <w:b/>
          <w:bCs/>
          <w:spacing w:val="-3"/>
          <w:sz w:val="24"/>
          <w:szCs w:val="24"/>
        </w:rPr>
        <w:t>3</w:t>
      </w:r>
    </w:p>
    <w:p w14:paraId="491F5D00" w14:textId="77777777" w:rsidR="001F180C" w:rsidRPr="00206147" w:rsidRDefault="001F180C" w:rsidP="001F180C">
      <w:pPr>
        <w:spacing w:after="0" w:line="240" w:lineRule="auto"/>
        <w:jc w:val="center"/>
        <w:rPr>
          <w:rFonts w:ascii="Times New Roman" w:eastAsia="Calibri" w:hAnsi="Times New Roman" w:cs="Times New Roman"/>
          <w:b/>
          <w:bCs/>
          <w:spacing w:val="-3"/>
          <w:sz w:val="24"/>
          <w:szCs w:val="24"/>
        </w:rPr>
      </w:pPr>
    </w:p>
    <w:p w14:paraId="533F92A7" w14:textId="77777777" w:rsidR="003F42E0" w:rsidRPr="00206147" w:rsidRDefault="001F180C" w:rsidP="003F42E0">
      <w:pPr>
        <w:spacing w:after="0" w:line="240" w:lineRule="auto"/>
        <w:jc w:val="both"/>
        <w:rPr>
          <w:rFonts w:ascii="Times New Roman" w:eastAsia="Calibri" w:hAnsi="Times New Roman" w:cs="Times New Roman"/>
          <w:spacing w:val="-3"/>
          <w:sz w:val="24"/>
          <w:szCs w:val="24"/>
        </w:rPr>
      </w:pPr>
      <w:r w:rsidRPr="00206147">
        <w:rPr>
          <w:rFonts w:ascii="Times New Roman" w:eastAsia="Calibri" w:hAnsi="Times New Roman" w:cs="Times New Roman"/>
          <w:spacing w:val="-3"/>
          <w:sz w:val="24"/>
          <w:szCs w:val="24"/>
        </w:rPr>
        <w:t xml:space="preserve">All Council on Social Work Education </w:t>
      </w:r>
      <w:r w:rsidR="00AD7B43" w:rsidRPr="00206147">
        <w:rPr>
          <w:rFonts w:ascii="Times New Roman" w:eastAsia="Calibri" w:hAnsi="Times New Roman" w:cs="Times New Roman"/>
          <w:spacing w:val="-3"/>
          <w:sz w:val="24"/>
          <w:szCs w:val="24"/>
        </w:rPr>
        <w:t xml:space="preserve">(CSWE) </w:t>
      </w:r>
      <w:r w:rsidRPr="00206147">
        <w:rPr>
          <w:rFonts w:ascii="Times New Roman" w:eastAsia="Calibri" w:hAnsi="Times New Roman" w:cs="Times New Roman"/>
          <w:spacing w:val="-3"/>
          <w:sz w:val="24"/>
          <w:szCs w:val="24"/>
        </w:rPr>
        <w:t xml:space="preserve">programs measure and report student learning outcomes.  Students are assessed on their mastery of the competencies that comprise the accreditation standards of the </w:t>
      </w:r>
      <w:r w:rsidR="00AD7B43" w:rsidRPr="00206147">
        <w:rPr>
          <w:rFonts w:ascii="Times New Roman" w:eastAsia="Calibri" w:hAnsi="Times New Roman" w:cs="Times New Roman"/>
          <w:spacing w:val="-3"/>
          <w:sz w:val="24"/>
          <w:szCs w:val="24"/>
        </w:rPr>
        <w:t>CSWE</w:t>
      </w:r>
      <w:r w:rsidRPr="00206147">
        <w:rPr>
          <w:rFonts w:ascii="Times New Roman" w:eastAsia="Calibri" w:hAnsi="Times New Roman" w:cs="Times New Roman"/>
          <w:spacing w:val="-3"/>
          <w:sz w:val="24"/>
          <w:szCs w:val="24"/>
        </w:rPr>
        <w:t>. These competencies are dimensions of social work practice that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48E9FFB6" w14:textId="77777777" w:rsidR="00131BAC" w:rsidRPr="00206147" w:rsidRDefault="00131BAC" w:rsidP="003F42E0">
      <w:pPr>
        <w:spacing w:after="0" w:line="240" w:lineRule="auto"/>
        <w:jc w:val="both"/>
        <w:rPr>
          <w:rFonts w:ascii="Times New Roman" w:eastAsia="Calibri" w:hAnsi="Times New Roman" w:cs="Times New Roman"/>
          <w:spacing w:val="-3"/>
          <w:sz w:val="24"/>
          <w:szCs w:val="24"/>
        </w:rPr>
      </w:pPr>
    </w:p>
    <w:p w14:paraId="5403CA4C" w14:textId="281739F3" w:rsidR="00131BAC" w:rsidRPr="00206147" w:rsidRDefault="00131BAC" w:rsidP="00131BAC">
      <w:pPr>
        <w:spacing w:after="0" w:line="240" w:lineRule="auto"/>
        <w:jc w:val="center"/>
        <w:rPr>
          <w:rFonts w:ascii="Times New Roman" w:eastAsia="Calibri" w:hAnsi="Times New Roman" w:cs="Times New Roman"/>
          <w:spacing w:val="-3"/>
          <w:sz w:val="24"/>
          <w:szCs w:val="24"/>
        </w:rPr>
      </w:pPr>
      <w:r w:rsidRPr="00206147">
        <w:rPr>
          <w:rFonts w:ascii="Times New Roman" w:eastAsia="Times New Roman" w:hAnsi="Times New Roman" w:cs="Times New Roman"/>
          <w:b/>
          <w:bCs/>
          <w:sz w:val="24"/>
          <w:szCs w:val="24"/>
        </w:rPr>
        <w:t>Assessment Data Collected during the Academic Year (202</w:t>
      </w:r>
      <w:r w:rsidR="007508EB">
        <w:rPr>
          <w:rFonts w:ascii="Times New Roman" w:eastAsia="Times New Roman" w:hAnsi="Times New Roman" w:cs="Times New Roman"/>
          <w:b/>
          <w:bCs/>
          <w:sz w:val="24"/>
          <w:szCs w:val="24"/>
        </w:rPr>
        <w:t>2</w:t>
      </w:r>
      <w:r w:rsidRPr="00206147">
        <w:rPr>
          <w:rFonts w:ascii="Times New Roman" w:eastAsia="Times New Roman" w:hAnsi="Times New Roman" w:cs="Times New Roman"/>
          <w:b/>
          <w:bCs/>
          <w:sz w:val="24"/>
          <w:szCs w:val="24"/>
        </w:rPr>
        <w:t>-202</w:t>
      </w:r>
      <w:r w:rsidR="007508EB">
        <w:rPr>
          <w:rFonts w:ascii="Times New Roman" w:eastAsia="Times New Roman" w:hAnsi="Times New Roman" w:cs="Times New Roman"/>
          <w:b/>
          <w:bCs/>
          <w:sz w:val="24"/>
          <w:szCs w:val="24"/>
        </w:rPr>
        <w:t>3</w:t>
      </w:r>
      <w:r w:rsidRPr="00206147">
        <w:rPr>
          <w:rFonts w:ascii="Times New Roman" w:eastAsia="Times New Roman" w:hAnsi="Times New Roman" w:cs="Times New Roman"/>
          <w:b/>
          <w:bCs/>
          <w:sz w:val="24"/>
          <w:szCs w:val="24"/>
        </w:rPr>
        <w:t>)</w:t>
      </w:r>
    </w:p>
    <w:p w14:paraId="3074B601" w14:textId="77777777" w:rsidR="008A2EAE" w:rsidRPr="00206147" w:rsidRDefault="001F180C" w:rsidP="003F42E0">
      <w:pPr>
        <w:spacing w:after="0" w:line="240" w:lineRule="auto"/>
        <w:jc w:val="both"/>
        <w:rPr>
          <w:rFonts w:ascii="Times New Roman" w:eastAsia="Calibri" w:hAnsi="Times New Roman" w:cs="Times New Roman"/>
          <w:spacing w:val="-3"/>
          <w:sz w:val="24"/>
          <w:szCs w:val="24"/>
        </w:rPr>
      </w:pPr>
      <w:r w:rsidRPr="00206147">
        <w:rPr>
          <w:rFonts w:ascii="Times New Roman" w:eastAsia="Calibri" w:hAnsi="Times New Roman" w:cs="Times New Roman"/>
          <w:spacing w:val="-3"/>
          <w:sz w:val="24"/>
          <w:szCs w:val="24"/>
        </w:rPr>
        <w:t xml:space="preserve"> </w:t>
      </w:r>
    </w:p>
    <w:tbl>
      <w:tblPr>
        <w:tblW w:w="4976" w:type="pct"/>
        <w:jc w:val="center"/>
        <w:tblLayout w:type="fixed"/>
        <w:tblCellMar>
          <w:left w:w="0" w:type="dxa"/>
          <w:right w:w="0" w:type="dxa"/>
        </w:tblCellMar>
        <w:tblLook w:val="04A0" w:firstRow="1" w:lastRow="0" w:firstColumn="1" w:lastColumn="0" w:noHBand="0" w:noVBand="1"/>
      </w:tblPr>
      <w:tblGrid>
        <w:gridCol w:w="5095"/>
        <w:gridCol w:w="3280"/>
        <w:gridCol w:w="31"/>
        <w:gridCol w:w="5623"/>
      </w:tblGrid>
      <w:tr w:rsidR="003F42E0" w:rsidRPr="00206147" w14:paraId="3EAE1478" w14:textId="77777777" w:rsidTr="00572DDD">
        <w:trPr>
          <w:jc w:val="center"/>
        </w:trPr>
        <w:tc>
          <w:tcPr>
            <w:tcW w:w="1816" w:type="pct"/>
            <w:vMerge w:val="restart"/>
            <w:tcBorders>
              <w:top w:val="single" w:sz="8" w:space="0" w:color="auto"/>
              <w:left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08770987"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p>
          <w:p w14:paraId="59B52641"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p>
          <w:p w14:paraId="15897DE2" w14:textId="77777777" w:rsidR="003F42E0" w:rsidRPr="00206147" w:rsidRDefault="003F42E0" w:rsidP="003F42E0">
            <w:pPr>
              <w:spacing w:after="0" w:line="240" w:lineRule="auto"/>
              <w:ind w:left="-383"/>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COMPETENCY</w:t>
            </w:r>
          </w:p>
        </w:tc>
        <w:tc>
          <w:tcPr>
            <w:tcW w:w="1169" w:type="pct"/>
            <w:vMerge w:val="restart"/>
            <w:tcBorders>
              <w:top w:val="single" w:sz="8" w:space="0" w:color="auto"/>
              <w:left w:val="nil"/>
              <w:right w:val="single" w:sz="8" w:space="0" w:color="auto"/>
            </w:tcBorders>
            <w:shd w:val="clear" w:color="auto" w:fill="DAEEF3" w:themeFill="accent5" w:themeFillTint="33"/>
            <w:tcMar>
              <w:top w:w="0" w:type="dxa"/>
              <w:left w:w="108" w:type="dxa"/>
              <w:bottom w:w="0" w:type="dxa"/>
              <w:right w:w="108" w:type="dxa"/>
            </w:tcMar>
            <w:vAlign w:val="center"/>
            <w:hideMark/>
          </w:tcPr>
          <w:p w14:paraId="56AEFAA7"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p>
          <w:p w14:paraId="11D2B150"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p>
          <w:p w14:paraId="5AE8F8F7"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COMPETENCY BENCHMARK</w:t>
            </w:r>
          </w:p>
        </w:tc>
        <w:tc>
          <w:tcPr>
            <w:tcW w:w="11" w:type="pct"/>
            <w:tcBorders>
              <w:top w:val="single" w:sz="8" w:space="0" w:color="auto"/>
              <w:left w:val="nil"/>
              <w:right w:val="nil"/>
            </w:tcBorders>
            <w:shd w:val="clear" w:color="auto" w:fill="DAEEF3" w:themeFill="accent5" w:themeFillTint="33"/>
            <w:vAlign w:val="center"/>
          </w:tcPr>
          <w:p w14:paraId="36A410B2"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p>
        </w:tc>
        <w:tc>
          <w:tcPr>
            <w:tcW w:w="2004" w:type="pct"/>
            <w:tcBorders>
              <w:top w:val="single" w:sz="8" w:space="0" w:color="auto"/>
              <w:left w:val="nil"/>
              <w:bottom w:val="single" w:sz="8" w:space="0" w:color="auto"/>
              <w:right w:val="single" w:sz="4" w:space="0" w:color="auto"/>
            </w:tcBorders>
            <w:shd w:val="clear" w:color="auto" w:fill="DAEEF3" w:themeFill="accent5" w:themeFillTint="33"/>
            <w:vAlign w:val="center"/>
          </w:tcPr>
          <w:p w14:paraId="4F2144E5"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PERCENTAGE OF STUDENTS ACHIEVING BENCHMARK</w:t>
            </w:r>
          </w:p>
          <w:p w14:paraId="687A80DA" w14:textId="77777777" w:rsidR="003F42E0" w:rsidRPr="00206147" w:rsidRDefault="003F42E0" w:rsidP="00B839A5">
            <w:pPr>
              <w:spacing w:after="0" w:line="240" w:lineRule="auto"/>
              <w:rPr>
                <w:rFonts w:ascii="Times New Roman" w:eastAsia="Calibri" w:hAnsi="Times New Roman" w:cs="Times New Roman"/>
                <w:b/>
                <w:bCs/>
                <w:spacing w:val="-3"/>
                <w:sz w:val="24"/>
                <w:szCs w:val="24"/>
              </w:rPr>
            </w:pPr>
          </w:p>
        </w:tc>
      </w:tr>
      <w:tr w:rsidR="00942875" w:rsidRPr="00206147" w14:paraId="14864447" w14:textId="77777777" w:rsidTr="00572DDD">
        <w:trPr>
          <w:jc w:val="center"/>
        </w:trPr>
        <w:tc>
          <w:tcPr>
            <w:tcW w:w="1816" w:type="pct"/>
            <w:vMerge/>
            <w:tcBorders>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14:paraId="3754214D" w14:textId="77777777" w:rsidR="00942875" w:rsidRPr="00206147" w:rsidRDefault="00942875" w:rsidP="00B839A5">
            <w:pPr>
              <w:spacing w:after="0" w:line="240" w:lineRule="auto"/>
              <w:rPr>
                <w:rFonts w:ascii="Times New Roman" w:eastAsia="Calibri" w:hAnsi="Times New Roman" w:cs="Times New Roman"/>
                <w:b/>
                <w:bCs/>
                <w:spacing w:val="-3"/>
                <w:sz w:val="24"/>
                <w:szCs w:val="24"/>
              </w:rPr>
            </w:pPr>
          </w:p>
        </w:tc>
        <w:tc>
          <w:tcPr>
            <w:tcW w:w="1169" w:type="pct"/>
            <w:vMerge/>
            <w:tcBorders>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14:paraId="318E5B6B" w14:textId="77777777" w:rsidR="00942875" w:rsidRPr="00206147" w:rsidRDefault="00942875" w:rsidP="00B839A5">
            <w:pPr>
              <w:spacing w:after="0" w:line="240" w:lineRule="auto"/>
              <w:rPr>
                <w:rFonts w:ascii="Times New Roman" w:eastAsia="Calibri" w:hAnsi="Times New Roman" w:cs="Times New Roman"/>
                <w:b/>
                <w:bCs/>
                <w:spacing w:val="-3"/>
                <w:sz w:val="24"/>
                <w:szCs w:val="24"/>
              </w:rPr>
            </w:pPr>
          </w:p>
        </w:tc>
        <w:tc>
          <w:tcPr>
            <w:tcW w:w="2015" w:type="pct"/>
            <w:gridSpan w:val="2"/>
            <w:tcBorders>
              <w:top w:val="nil"/>
              <w:left w:val="nil"/>
              <w:bottom w:val="single" w:sz="8" w:space="0" w:color="auto"/>
              <w:right w:val="single" w:sz="8" w:space="0" w:color="auto"/>
            </w:tcBorders>
            <w:shd w:val="clear" w:color="auto" w:fill="DAEEF3" w:themeFill="accent5" w:themeFillTint="33"/>
            <w:vAlign w:val="center"/>
          </w:tcPr>
          <w:p w14:paraId="5860CC30" w14:textId="386B77B0" w:rsidR="00942875" w:rsidRPr="00206147" w:rsidRDefault="00572DDD" w:rsidP="00572DDD">
            <w:pPr>
              <w:spacing w:after="0" w:line="240" w:lineRule="auto"/>
              <w:jc w:val="center"/>
              <w:rPr>
                <w:rFonts w:ascii="Times New Roman" w:eastAsia="Calibri" w:hAnsi="Times New Roman" w:cs="Times New Roman"/>
                <w:b/>
                <w:bCs/>
                <w:spacing w:val="-3"/>
                <w:sz w:val="24"/>
                <w:szCs w:val="24"/>
              </w:rPr>
            </w:pPr>
            <w:r>
              <w:rPr>
                <w:rFonts w:ascii="Times New Roman" w:eastAsia="Calibri" w:hAnsi="Times New Roman" w:cs="Times New Roman"/>
                <w:b/>
                <w:bCs/>
                <w:spacing w:val="-3"/>
                <w:sz w:val="24"/>
                <w:szCs w:val="24"/>
              </w:rPr>
              <w:t>1 Program Option</w:t>
            </w:r>
          </w:p>
        </w:tc>
      </w:tr>
      <w:tr w:rsidR="00B9430A" w:rsidRPr="00206147" w14:paraId="74B95955"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60E6A"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1: Demonstrate Ethical and Professional Behavior</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6393E24E" w14:textId="60493DEE"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75% of students will demonstrate this competency inclusive of 2 measures; the BSW Comprehensive Exam</w:t>
            </w:r>
            <w:r w:rsidR="001B4878">
              <w:rPr>
                <w:rFonts w:ascii="Times New Roman" w:hAnsi="Times New Roman" w:cs="Times New Roman"/>
                <w:b/>
                <w:sz w:val="24"/>
                <w:szCs w:val="24"/>
              </w:rPr>
              <w:t xml:space="preserve"> (94%)</w:t>
            </w:r>
            <w:r w:rsidRPr="00206147">
              <w:rPr>
                <w:rFonts w:ascii="Times New Roman" w:hAnsi="Times New Roman" w:cs="Times New Roman"/>
                <w:b/>
                <w:sz w:val="24"/>
                <w:szCs w:val="24"/>
              </w:rPr>
              <w:t xml:space="preserve"> and the Final Field Evaluation (FFE)</w:t>
            </w:r>
            <w:r w:rsidR="001B4878">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0484C655" w14:textId="58C20D6C" w:rsidR="00B9430A" w:rsidRPr="00206147" w:rsidRDefault="00B9430A" w:rsidP="00B9430A">
            <w:pPr>
              <w:spacing w:after="0" w:line="240" w:lineRule="auto"/>
              <w:jc w:val="center"/>
              <w:rPr>
                <w:rFonts w:ascii="Times New Roman" w:eastAsia="Calibri" w:hAnsi="Times New Roman" w:cs="Times New Roman"/>
                <w:b/>
                <w:bCs/>
                <w:spacing w:val="-3"/>
                <w:sz w:val="24"/>
                <w:szCs w:val="24"/>
              </w:rPr>
            </w:pPr>
            <w:r>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7</w:t>
            </w:r>
            <w:r>
              <w:rPr>
                <w:rFonts w:ascii="Times New Roman" w:eastAsia="Calibri" w:hAnsi="Times New Roman" w:cs="Times New Roman"/>
                <w:b/>
                <w:bCs/>
                <w:spacing w:val="-3"/>
                <w:sz w:val="24"/>
                <w:szCs w:val="24"/>
              </w:rPr>
              <w:t>%</w:t>
            </w:r>
          </w:p>
        </w:tc>
      </w:tr>
      <w:tr w:rsidR="00B9430A" w:rsidRPr="00206147" w14:paraId="1A2FF98D"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0366"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2: Engage Diversity and Difference in Practice</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26801ABA" w14:textId="7BF311AC"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BD7B3A">
              <w:rPr>
                <w:rFonts w:ascii="Times New Roman" w:hAnsi="Times New Roman" w:cs="Times New Roman"/>
                <w:b/>
                <w:sz w:val="24"/>
                <w:szCs w:val="24"/>
              </w:rPr>
              <w:t xml:space="preserve">(95%) </w:t>
            </w:r>
            <w:r w:rsidRPr="00206147">
              <w:rPr>
                <w:rFonts w:ascii="Times New Roman" w:hAnsi="Times New Roman" w:cs="Times New Roman"/>
                <w:b/>
                <w:sz w:val="24"/>
                <w:szCs w:val="24"/>
              </w:rPr>
              <w:t>and the Final Field Evaluation (FFE)</w:t>
            </w:r>
            <w:r w:rsidR="00BD7B3A">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3A59982E" w14:textId="6D820691" w:rsidR="00B9430A" w:rsidRPr="00206147" w:rsidRDefault="00B9430A" w:rsidP="00B9430A">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7.</w:t>
            </w:r>
            <w:r>
              <w:rPr>
                <w:rFonts w:ascii="Times New Roman" w:eastAsia="Calibri" w:hAnsi="Times New Roman" w:cs="Times New Roman"/>
                <w:b/>
                <w:bCs/>
                <w:spacing w:val="-3"/>
                <w:sz w:val="24"/>
                <w:szCs w:val="24"/>
              </w:rPr>
              <w:t>5</w:t>
            </w:r>
            <w:r w:rsidRPr="00206147">
              <w:rPr>
                <w:rFonts w:ascii="Times New Roman" w:eastAsia="Calibri" w:hAnsi="Times New Roman" w:cs="Times New Roman"/>
                <w:b/>
                <w:bCs/>
                <w:spacing w:val="-3"/>
                <w:sz w:val="24"/>
                <w:szCs w:val="24"/>
              </w:rPr>
              <w:t>%</w:t>
            </w:r>
          </w:p>
        </w:tc>
      </w:tr>
      <w:tr w:rsidR="00B9430A" w:rsidRPr="00206147" w14:paraId="70152A10"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54BB9"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3: Advance Human Rights and Social, Economic, and Environmental Justice</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3DB6C635" w14:textId="4670D092"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w:t>
            </w:r>
            <w:r w:rsidRPr="00206147">
              <w:rPr>
                <w:rFonts w:ascii="Times New Roman" w:hAnsi="Times New Roman" w:cs="Times New Roman"/>
                <w:b/>
                <w:sz w:val="24"/>
                <w:szCs w:val="24"/>
              </w:rPr>
              <w:lastRenderedPageBreak/>
              <w:t>BSW Comprehensive Exam</w:t>
            </w:r>
            <w:r w:rsidR="00572DDD">
              <w:rPr>
                <w:rFonts w:ascii="Times New Roman" w:hAnsi="Times New Roman" w:cs="Times New Roman"/>
                <w:b/>
                <w:sz w:val="24"/>
                <w:szCs w:val="24"/>
              </w:rPr>
              <w:t xml:space="preserve"> (94%)</w:t>
            </w:r>
            <w:r w:rsidRPr="00206147">
              <w:rPr>
                <w:rFonts w:ascii="Times New Roman" w:hAnsi="Times New Roman" w:cs="Times New Roman"/>
                <w:b/>
                <w:sz w:val="24"/>
                <w:szCs w:val="24"/>
              </w:rPr>
              <w:t xml:space="preserve"> and the Final Field Evaluation (FFE)</w:t>
            </w:r>
            <w:r w:rsidR="00572DDD">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73146289" w14:textId="0619BEF6" w:rsidR="00B9430A" w:rsidRPr="00206147" w:rsidRDefault="00B9430A" w:rsidP="00B9430A">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lastRenderedPageBreak/>
              <w:t>97%</w:t>
            </w:r>
          </w:p>
        </w:tc>
      </w:tr>
      <w:tr w:rsidR="00B9430A" w:rsidRPr="00206147" w14:paraId="2A44A879"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B913C"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4: Engage in Practice-informed Research and Research-informed Practice</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2BFF9A84" w14:textId="14975F20"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942875">
              <w:rPr>
                <w:rFonts w:ascii="Times New Roman" w:hAnsi="Times New Roman" w:cs="Times New Roman"/>
                <w:b/>
                <w:sz w:val="24"/>
                <w:szCs w:val="24"/>
              </w:rPr>
              <w:t xml:space="preserve">(90%) </w:t>
            </w:r>
            <w:r w:rsidRPr="00206147">
              <w:rPr>
                <w:rFonts w:ascii="Times New Roman" w:hAnsi="Times New Roman" w:cs="Times New Roman"/>
                <w:b/>
                <w:sz w:val="24"/>
                <w:szCs w:val="24"/>
              </w:rPr>
              <w:t>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6F2DE92E" w14:textId="66B33B57" w:rsidR="00B9430A" w:rsidRPr="00206147" w:rsidRDefault="00942875" w:rsidP="001D6320">
            <w:pPr>
              <w:spacing w:after="0" w:line="240" w:lineRule="auto"/>
              <w:jc w:val="center"/>
              <w:rPr>
                <w:rFonts w:ascii="Times New Roman" w:eastAsia="Calibri" w:hAnsi="Times New Roman" w:cs="Times New Roman"/>
                <w:b/>
                <w:bCs/>
                <w:spacing w:val="-3"/>
                <w:sz w:val="24"/>
                <w:szCs w:val="24"/>
              </w:rPr>
            </w:pPr>
            <w:r>
              <w:rPr>
                <w:rFonts w:ascii="Times New Roman" w:eastAsia="Calibri" w:hAnsi="Times New Roman" w:cs="Times New Roman"/>
                <w:b/>
                <w:bCs/>
                <w:spacing w:val="-3"/>
                <w:sz w:val="24"/>
                <w:szCs w:val="24"/>
              </w:rPr>
              <w:t>95</w:t>
            </w:r>
            <w:r w:rsidR="00B9430A" w:rsidRPr="00206147">
              <w:rPr>
                <w:rFonts w:ascii="Times New Roman" w:eastAsia="Calibri" w:hAnsi="Times New Roman" w:cs="Times New Roman"/>
                <w:b/>
                <w:bCs/>
                <w:spacing w:val="-3"/>
                <w:sz w:val="24"/>
                <w:szCs w:val="24"/>
              </w:rPr>
              <w:t>%</w:t>
            </w:r>
          </w:p>
          <w:p w14:paraId="46DD1392" w14:textId="77777777" w:rsidR="00B9430A" w:rsidRPr="00206147" w:rsidRDefault="00B9430A" w:rsidP="001D6320">
            <w:pPr>
              <w:spacing w:after="0" w:line="240" w:lineRule="auto"/>
              <w:rPr>
                <w:rFonts w:ascii="Times New Roman" w:eastAsia="Calibri" w:hAnsi="Times New Roman" w:cs="Times New Roman"/>
                <w:b/>
                <w:bCs/>
                <w:spacing w:val="-3"/>
                <w:sz w:val="24"/>
                <w:szCs w:val="24"/>
              </w:rPr>
            </w:pPr>
          </w:p>
        </w:tc>
      </w:tr>
      <w:tr w:rsidR="00B9430A" w:rsidRPr="00206147" w14:paraId="49FD2BDD"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FFB08"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5: Engage in Policy Practice</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454E29EA" w14:textId="3AB80017"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75% of students will demonstrate this competency inclusive of 2 measures; the BSW Comprehensive Exam</w:t>
            </w:r>
            <w:r w:rsidR="00942875">
              <w:rPr>
                <w:rFonts w:ascii="Times New Roman" w:hAnsi="Times New Roman" w:cs="Times New Roman"/>
                <w:b/>
                <w:sz w:val="24"/>
                <w:szCs w:val="24"/>
              </w:rPr>
              <w:t xml:space="preserve"> (91%)</w:t>
            </w:r>
            <w:r w:rsidRPr="00206147">
              <w:rPr>
                <w:rFonts w:ascii="Times New Roman" w:hAnsi="Times New Roman" w:cs="Times New Roman"/>
                <w:b/>
                <w:sz w:val="24"/>
                <w:szCs w:val="24"/>
              </w:rPr>
              <w:t xml:space="preserve"> 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6D017023" w14:textId="579A2344" w:rsidR="00B9430A" w:rsidRPr="00206147" w:rsidRDefault="00B9430A" w:rsidP="001D6320">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5.5</w:t>
            </w:r>
            <w:r w:rsidRPr="00206147">
              <w:rPr>
                <w:rFonts w:ascii="Times New Roman" w:eastAsia="Calibri" w:hAnsi="Times New Roman" w:cs="Times New Roman"/>
                <w:b/>
                <w:bCs/>
                <w:spacing w:val="-3"/>
                <w:sz w:val="24"/>
                <w:szCs w:val="24"/>
              </w:rPr>
              <w:t>%</w:t>
            </w:r>
          </w:p>
          <w:p w14:paraId="49FEAB44" w14:textId="77777777" w:rsidR="00B9430A" w:rsidRPr="00206147" w:rsidRDefault="00B9430A" w:rsidP="001D6320">
            <w:pPr>
              <w:spacing w:after="0" w:line="240" w:lineRule="auto"/>
              <w:rPr>
                <w:rFonts w:ascii="Times New Roman" w:eastAsia="Calibri" w:hAnsi="Times New Roman" w:cs="Times New Roman"/>
                <w:b/>
                <w:bCs/>
                <w:spacing w:val="-3"/>
                <w:sz w:val="24"/>
                <w:szCs w:val="24"/>
              </w:rPr>
            </w:pPr>
          </w:p>
        </w:tc>
      </w:tr>
      <w:tr w:rsidR="00B9430A" w:rsidRPr="00206147" w14:paraId="4AA80D0A"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8A729"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6: Engage with Individuals, Families, Groups, Organizations, and Communities</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65819C9E" w14:textId="3498DD25"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942875">
              <w:rPr>
                <w:rFonts w:ascii="Times New Roman" w:hAnsi="Times New Roman" w:cs="Times New Roman"/>
                <w:b/>
                <w:sz w:val="24"/>
                <w:szCs w:val="24"/>
              </w:rPr>
              <w:t xml:space="preserve">(91%) </w:t>
            </w:r>
            <w:r w:rsidRPr="00206147">
              <w:rPr>
                <w:rFonts w:ascii="Times New Roman" w:hAnsi="Times New Roman" w:cs="Times New Roman"/>
                <w:b/>
                <w:sz w:val="24"/>
                <w:szCs w:val="24"/>
              </w:rPr>
              <w:t>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2085934C" w14:textId="421885AE" w:rsidR="00B9430A" w:rsidRPr="00206147" w:rsidRDefault="00B9430A" w:rsidP="001D6320">
            <w:pPr>
              <w:spacing w:after="0"/>
              <w:jc w:val="center"/>
              <w:rPr>
                <w:rFonts w:ascii="Times New Roman" w:hAnsi="Times New Roman" w:cs="Times New Roman"/>
                <w:sz w:val="24"/>
                <w:szCs w:val="24"/>
              </w:rPr>
            </w:pPr>
            <w:r w:rsidRPr="00206147">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5.5</w:t>
            </w:r>
            <w:r w:rsidRPr="00206147">
              <w:rPr>
                <w:rFonts w:ascii="Times New Roman" w:eastAsia="Calibri" w:hAnsi="Times New Roman" w:cs="Times New Roman"/>
                <w:b/>
                <w:bCs/>
                <w:spacing w:val="-3"/>
                <w:sz w:val="24"/>
                <w:szCs w:val="24"/>
              </w:rPr>
              <w:t>%</w:t>
            </w:r>
          </w:p>
          <w:p w14:paraId="5B3CE849" w14:textId="77777777" w:rsidR="00B9430A" w:rsidRPr="00206147" w:rsidRDefault="00B9430A" w:rsidP="001D6320">
            <w:pPr>
              <w:spacing w:after="0" w:line="240" w:lineRule="auto"/>
              <w:rPr>
                <w:rFonts w:ascii="Times New Roman" w:eastAsia="Calibri" w:hAnsi="Times New Roman" w:cs="Times New Roman"/>
                <w:b/>
                <w:bCs/>
                <w:spacing w:val="-3"/>
                <w:sz w:val="24"/>
                <w:szCs w:val="24"/>
              </w:rPr>
            </w:pPr>
          </w:p>
        </w:tc>
      </w:tr>
      <w:tr w:rsidR="00B9430A" w:rsidRPr="00206147" w14:paraId="4B7A173C" w14:textId="77777777" w:rsidTr="00942875">
        <w:trPr>
          <w:trHeight w:val="88"/>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90E47"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7: Assess Individuals, Families, Groups, Organizations, and Communities</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727584DE" w14:textId="1064B9EF"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942875">
              <w:rPr>
                <w:rFonts w:ascii="Times New Roman" w:hAnsi="Times New Roman" w:cs="Times New Roman"/>
                <w:b/>
                <w:sz w:val="24"/>
                <w:szCs w:val="24"/>
              </w:rPr>
              <w:t xml:space="preserve"> (91%) </w:t>
            </w:r>
            <w:r w:rsidRPr="00206147">
              <w:rPr>
                <w:rFonts w:ascii="Times New Roman" w:hAnsi="Times New Roman" w:cs="Times New Roman"/>
                <w:b/>
                <w:sz w:val="24"/>
                <w:szCs w:val="24"/>
              </w:rPr>
              <w:t>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23EC7BED" w14:textId="77777777" w:rsidR="00B9430A" w:rsidRDefault="00B9430A" w:rsidP="001D6320">
            <w:pPr>
              <w:spacing w:after="0"/>
              <w:jc w:val="center"/>
              <w:rPr>
                <w:rFonts w:ascii="Times New Roman" w:eastAsia="Calibri" w:hAnsi="Times New Roman" w:cs="Times New Roman"/>
                <w:b/>
                <w:bCs/>
                <w:spacing w:val="-3"/>
                <w:sz w:val="24"/>
                <w:szCs w:val="24"/>
              </w:rPr>
            </w:pPr>
          </w:p>
          <w:p w14:paraId="425AEB38" w14:textId="43602110" w:rsidR="00B9430A" w:rsidRPr="00206147" w:rsidRDefault="00B9430A" w:rsidP="001D6320">
            <w:pPr>
              <w:spacing w:after="0"/>
              <w:jc w:val="center"/>
              <w:rPr>
                <w:rFonts w:ascii="Times New Roman" w:hAnsi="Times New Roman" w:cs="Times New Roman"/>
                <w:sz w:val="24"/>
                <w:szCs w:val="24"/>
              </w:rPr>
            </w:pPr>
            <w:r w:rsidRPr="00206147">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5.5</w:t>
            </w:r>
            <w:r w:rsidRPr="00206147">
              <w:rPr>
                <w:rFonts w:ascii="Times New Roman" w:eastAsia="Calibri" w:hAnsi="Times New Roman" w:cs="Times New Roman"/>
                <w:b/>
                <w:bCs/>
                <w:spacing w:val="-3"/>
                <w:sz w:val="24"/>
                <w:szCs w:val="24"/>
              </w:rPr>
              <w:t>%</w:t>
            </w:r>
          </w:p>
          <w:p w14:paraId="4E7A78D3" w14:textId="77777777" w:rsidR="00B9430A" w:rsidRPr="00206147" w:rsidRDefault="00B9430A" w:rsidP="001D6320">
            <w:pPr>
              <w:spacing w:after="0" w:line="240" w:lineRule="auto"/>
              <w:rPr>
                <w:rFonts w:ascii="Times New Roman" w:eastAsia="Calibri" w:hAnsi="Times New Roman" w:cs="Times New Roman"/>
                <w:b/>
                <w:bCs/>
                <w:spacing w:val="-3"/>
                <w:sz w:val="24"/>
                <w:szCs w:val="24"/>
              </w:rPr>
            </w:pPr>
          </w:p>
        </w:tc>
      </w:tr>
      <w:tr w:rsidR="00B9430A" w:rsidRPr="00206147" w14:paraId="30C5C700"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A37CF" w14:textId="77777777" w:rsidR="00B9430A" w:rsidRPr="00206147" w:rsidRDefault="00B9430A"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8: Intervene with Individuals, Families, Groups, Organizations, and Communities</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3F9BBFF7" w14:textId="6A37C93F" w:rsidR="00B9430A" w:rsidRPr="00206147" w:rsidRDefault="00B9430A"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942875">
              <w:rPr>
                <w:rFonts w:ascii="Times New Roman" w:hAnsi="Times New Roman" w:cs="Times New Roman"/>
                <w:b/>
                <w:sz w:val="24"/>
                <w:szCs w:val="24"/>
              </w:rPr>
              <w:t xml:space="preserve"> </w:t>
            </w:r>
            <w:r w:rsidR="00942875">
              <w:rPr>
                <w:rFonts w:ascii="Times New Roman" w:hAnsi="Times New Roman" w:cs="Times New Roman"/>
                <w:b/>
                <w:sz w:val="24"/>
                <w:szCs w:val="24"/>
              </w:rPr>
              <w:lastRenderedPageBreak/>
              <w:t xml:space="preserve">(91%) </w:t>
            </w:r>
            <w:r w:rsidRPr="00206147">
              <w:rPr>
                <w:rFonts w:ascii="Times New Roman" w:hAnsi="Times New Roman" w:cs="Times New Roman"/>
                <w:b/>
                <w:sz w:val="24"/>
                <w:szCs w:val="24"/>
              </w:rPr>
              <w:t>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8" w:space="0" w:color="auto"/>
            </w:tcBorders>
            <w:vAlign w:val="center"/>
          </w:tcPr>
          <w:p w14:paraId="3FB8D4BA" w14:textId="706DFA6A" w:rsidR="00B9430A" w:rsidRPr="00206147" w:rsidRDefault="00B9430A" w:rsidP="00B9430A">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lastRenderedPageBreak/>
              <w:t>9</w:t>
            </w:r>
            <w:r w:rsidR="00942875">
              <w:rPr>
                <w:rFonts w:ascii="Times New Roman" w:eastAsia="Calibri" w:hAnsi="Times New Roman" w:cs="Times New Roman"/>
                <w:b/>
                <w:bCs/>
                <w:spacing w:val="-3"/>
                <w:sz w:val="24"/>
                <w:szCs w:val="24"/>
              </w:rPr>
              <w:t>5.5</w:t>
            </w:r>
            <w:r w:rsidRPr="00206147">
              <w:rPr>
                <w:rFonts w:ascii="Times New Roman" w:eastAsia="Calibri" w:hAnsi="Times New Roman" w:cs="Times New Roman"/>
                <w:b/>
                <w:bCs/>
                <w:spacing w:val="-3"/>
                <w:sz w:val="24"/>
                <w:szCs w:val="24"/>
              </w:rPr>
              <w:t>%</w:t>
            </w:r>
          </w:p>
        </w:tc>
      </w:tr>
      <w:tr w:rsidR="00046286" w:rsidRPr="00206147" w14:paraId="36F7CB24"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02644" w14:textId="77777777" w:rsidR="00046286" w:rsidRPr="00206147" w:rsidRDefault="00046286" w:rsidP="001D6320">
            <w:pPr>
              <w:spacing w:after="0" w:line="240" w:lineRule="auto"/>
              <w:rPr>
                <w:rFonts w:ascii="Times New Roman" w:eastAsia="Calibri" w:hAnsi="Times New Roman" w:cs="Times New Roman"/>
                <w:spacing w:val="-3"/>
                <w:sz w:val="24"/>
                <w:szCs w:val="24"/>
              </w:rPr>
            </w:pPr>
            <w:r w:rsidRPr="00206147">
              <w:rPr>
                <w:rFonts w:ascii="Times New Roman" w:eastAsia="Calibri" w:hAnsi="Times New Roman" w:cs="Times New Roman"/>
                <w:b/>
                <w:bCs/>
                <w:spacing w:val="-3"/>
                <w:sz w:val="24"/>
                <w:szCs w:val="24"/>
              </w:rPr>
              <w:t>Competency 9: Evaluate Practice with Individuals, Families, Groups, Organizations, and Communities</w:t>
            </w:r>
          </w:p>
        </w:tc>
        <w:tc>
          <w:tcPr>
            <w:tcW w:w="1169" w:type="pct"/>
            <w:tcBorders>
              <w:top w:val="nil"/>
              <w:left w:val="nil"/>
              <w:bottom w:val="single" w:sz="8" w:space="0" w:color="auto"/>
              <w:right w:val="single" w:sz="8" w:space="0" w:color="auto"/>
            </w:tcBorders>
            <w:tcMar>
              <w:top w:w="0" w:type="dxa"/>
              <w:left w:w="108" w:type="dxa"/>
              <w:bottom w:w="0" w:type="dxa"/>
              <w:right w:w="108" w:type="dxa"/>
            </w:tcMar>
          </w:tcPr>
          <w:p w14:paraId="1F78BB53" w14:textId="62EC4604" w:rsidR="00046286" w:rsidRPr="00206147" w:rsidRDefault="00046286" w:rsidP="001D6320">
            <w:pPr>
              <w:jc w:val="center"/>
              <w:rPr>
                <w:rFonts w:ascii="Times New Roman" w:hAnsi="Times New Roman" w:cs="Times New Roman"/>
                <w:sz w:val="24"/>
                <w:szCs w:val="24"/>
              </w:rPr>
            </w:pPr>
            <w:r w:rsidRPr="00206147">
              <w:rPr>
                <w:rFonts w:ascii="Times New Roman" w:hAnsi="Times New Roman" w:cs="Times New Roman"/>
                <w:b/>
                <w:sz w:val="24"/>
                <w:szCs w:val="24"/>
              </w:rPr>
              <w:t xml:space="preserve">75% of students will demonstrate this competency inclusive of 2 measures; the BSW Comprehensive Exam </w:t>
            </w:r>
            <w:r w:rsidR="00942875">
              <w:rPr>
                <w:rFonts w:ascii="Times New Roman" w:hAnsi="Times New Roman" w:cs="Times New Roman"/>
                <w:b/>
                <w:sz w:val="24"/>
                <w:szCs w:val="24"/>
              </w:rPr>
              <w:t xml:space="preserve">(91%) </w:t>
            </w:r>
            <w:r w:rsidRPr="00206147">
              <w:rPr>
                <w:rFonts w:ascii="Times New Roman" w:hAnsi="Times New Roman" w:cs="Times New Roman"/>
                <w:b/>
                <w:sz w:val="24"/>
                <w:szCs w:val="24"/>
              </w:rPr>
              <w:t>and the Final Field Evaluation (FFE)</w:t>
            </w:r>
            <w:r w:rsidR="00942875">
              <w:rPr>
                <w:rFonts w:ascii="Times New Roman" w:hAnsi="Times New Roman" w:cs="Times New Roman"/>
                <w:b/>
                <w:sz w:val="24"/>
                <w:szCs w:val="24"/>
              </w:rPr>
              <w:t xml:space="preserve"> (100%)</w:t>
            </w:r>
          </w:p>
        </w:tc>
        <w:tc>
          <w:tcPr>
            <w:tcW w:w="2015" w:type="pct"/>
            <w:gridSpan w:val="2"/>
            <w:tcBorders>
              <w:top w:val="nil"/>
              <w:left w:val="nil"/>
              <w:bottom w:val="single" w:sz="8" w:space="0" w:color="auto"/>
              <w:right w:val="single" w:sz="4" w:space="0" w:color="auto"/>
            </w:tcBorders>
            <w:vAlign w:val="center"/>
          </w:tcPr>
          <w:p w14:paraId="5504DF4F" w14:textId="2537622B" w:rsidR="00046286" w:rsidRPr="00206147" w:rsidRDefault="00046286" w:rsidP="001D6320">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9</w:t>
            </w:r>
            <w:r w:rsidR="00942875">
              <w:rPr>
                <w:rFonts w:ascii="Times New Roman" w:eastAsia="Calibri" w:hAnsi="Times New Roman" w:cs="Times New Roman"/>
                <w:b/>
                <w:bCs/>
                <w:spacing w:val="-3"/>
                <w:sz w:val="24"/>
                <w:szCs w:val="24"/>
              </w:rPr>
              <w:t>5.5</w:t>
            </w:r>
            <w:r w:rsidRPr="00206147">
              <w:rPr>
                <w:rFonts w:ascii="Times New Roman" w:eastAsia="Calibri" w:hAnsi="Times New Roman" w:cs="Times New Roman"/>
                <w:b/>
                <w:bCs/>
                <w:spacing w:val="-3"/>
                <w:sz w:val="24"/>
                <w:szCs w:val="24"/>
              </w:rPr>
              <w:t>%</w:t>
            </w:r>
          </w:p>
        </w:tc>
      </w:tr>
      <w:tr w:rsidR="003F42E0" w:rsidRPr="00206147" w14:paraId="6EEC3D2A" w14:textId="77777777" w:rsidTr="00942875">
        <w:trPr>
          <w:jc w:val="center"/>
        </w:trPr>
        <w:tc>
          <w:tcPr>
            <w:tcW w:w="18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8FE11" w14:textId="77777777" w:rsidR="003F42E0" w:rsidRPr="00206147" w:rsidRDefault="003F42E0" w:rsidP="00B839A5">
            <w:pPr>
              <w:spacing w:after="0" w:line="240" w:lineRule="auto"/>
              <w:rPr>
                <w:rFonts w:ascii="Times New Roman" w:eastAsia="Calibri" w:hAnsi="Times New Roman" w:cs="Times New Roman"/>
                <w:b/>
                <w:spacing w:val="-3"/>
                <w:sz w:val="24"/>
                <w:szCs w:val="24"/>
              </w:rPr>
            </w:pPr>
            <w:r w:rsidRPr="00206147">
              <w:rPr>
                <w:rFonts w:ascii="Times New Roman" w:eastAsia="Calibri" w:hAnsi="Times New Roman" w:cs="Times New Roman"/>
                <w:b/>
                <w:spacing w:val="-3"/>
                <w:sz w:val="24"/>
                <w:szCs w:val="24"/>
              </w:rPr>
              <w:t>Any Additional Competency(ies) Developed by the Program</w:t>
            </w:r>
          </w:p>
        </w:tc>
        <w:tc>
          <w:tcPr>
            <w:tcW w:w="3184"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14:paraId="3477B1C9" w14:textId="77777777" w:rsidR="003F42E0" w:rsidRPr="00206147" w:rsidRDefault="003F42E0" w:rsidP="00B839A5">
            <w:pPr>
              <w:spacing w:after="0" w:line="240" w:lineRule="auto"/>
              <w:jc w:val="center"/>
              <w:rPr>
                <w:rFonts w:ascii="Times New Roman" w:eastAsia="Calibri" w:hAnsi="Times New Roman" w:cs="Times New Roman"/>
                <w:b/>
                <w:bCs/>
                <w:spacing w:val="-3"/>
                <w:sz w:val="24"/>
                <w:szCs w:val="24"/>
              </w:rPr>
            </w:pPr>
            <w:r w:rsidRPr="00206147">
              <w:rPr>
                <w:rFonts w:ascii="Times New Roman" w:eastAsia="Calibri" w:hAnsi="Times New Roman" w:cs="Times New Roman"/>
                <w:b/>
                <w:bCs/>
                <w:spacing w:val="-3"/>
                <w:sz w:val="24"/>
                <w:szCs w:val="24"/>
              </w:rPr>
              <w:t>N/A</w:t>
            </w:r>
          </w:p>
        </w:tc>
      </w:tr>
    </w:tbl>
    <w:p w14:paraId="77F36998" w14:textId="77777777" w:rsidR="008A2EAE" w:rsidRPr="00206147" w:rsidRDefault="008A2EAE">
      <w:pPr>
        <w:rPr>
          <w:rFonts w:ascii="Times New Roman" w:hAnsi="Times New Roman" w:cs="Times New Roman"/>
          <w:sz w:val="24"/>
          <w:szCs w:val="24"/>
        </w:rPr>
      </w:pPr>
    </w:p>
    <w:sectPr w:rsidR="008A2EAE" w:rsidRPr="00206147" w:rsidSect="003F42E0">
      <w:pgSz w:w="15840" w:h="12240" w:orient="landscape"/>
      <w:pgMar w:top="547"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0C"/>
    <w:rsid w:val="000406E1"/>
    <w:rsid w:val="00046286"/>
    <w:rsid w:val="000C6C43"/>
    <w:rsid w:val="000F49E6"/>
    <w:rsid w:val="0012198C"/>
    <w:rsid w:val="00131BAC"/>
    <w:rsid w:val="001B4878"/>
    <w:rsid w:val="001D6320"/>
    <w:rsid w:val="001F180C"/>
    <w:rsid w:val="001F5969"/>
    <w:rsid w:val="00206147"/>
    <w:rsid w:val="00217D4D"/>
    <w:rsid w:val="00266B86"/>
    <w:rsid w:val="002C0A0F"/>
    <w:rsid w:val="002C2755"/>
    <w:rsid w:val="002C5E86"/>
    <w:rsid w:val="002F3324"/>
    <w:rsid w:val="00315EFD"/>
    <w:rsid w:val="003F42E0"/>
    <w:rsid w:val="004553D5"/>
    <w:rsid w:val="00482537"/>
    <w:rsid w:val="004B4E46"/>
    <w:rsid w:val="005120FC"/>
    <w:rsid w:val="00556B57"/>
    <w:rsid w:val="00572DDD"/>
    <w:rsid w:val="00587252"/>
    <w:rsid w:val="006308BA"/>
    <w:rsid w:val="006D56B5"/>
    <w:rsid w:val="006F2D49"/>
    <w:rsid w:val="00717DB5"/>
    <w:rsid w:val="007217D0"/>
    <w:rsid w:val="007508EB"/>
    <w:rsid w:val="00787E61"/>
    <w:rsid w:val="007A2861"/>
    <w:rsid w:val="00833BC9"/>
    <w:rsid w:val="0085263C"/>
    <w:rsid w:val="00853039"/>
    <w:rsid w:val="008A2EAE"/>
    <w:rsid w:val="008E1381"/>
    <w:rsid w:val="009072E7"/>
    <w:rsid w:val="00913E4F"/>
    <w:rsid w:val="0092067E"/>
    <w:rsid w:val="00924B58"/>
    <w:rsid w:val="00935A3D"/>
    <w:rsid w:val="00942875"/>
    <w:rsid w:val="009B578D"/>
    <w:rsid w:val="009E6071"/>
    <w:rsid w:val="00AD7B43"/>
    <w:rsid w:val="00B07453"/>
    <w:rsid w:val="00B124B1"/>
    <w:rsid w:val="00B25B71"/>
    <w:rsid w:val="00B406F3"/>
    <w:rsid w:val="00B9430A"/>
    <w:rsid w:val="00BB25B9"/>
    <w:rsid w:val="00BD7B3A"/>
    <w:rsid w:val="00BF7017"/>
    <w:rsid w:val="00C15383"/>
    <w:rsid w:val="00C50DD1"/>
    <w:rsid w:val="00CA1C2A"/>
    <w:rsid w:val="00CE0A4F"/>
    <w:rsid w:val="00D00013"/>
    <w:rsid w:val="00D5787E"/>
    <w:rsid w:val="00D840B9"/>
    <w:rsid w:val="00D84C3D"/>
    <w:rsid w:val="00E2017D"/>
    <w:rsid w:val="00E2101B"/>
    <w:rsid w:val="00EB3DC3"/>
    <w:rsid w:val="00ED2299"/>
    <w:rsid w:val="00EE5532"/>
    <w:rsid w:val="00F3188D"/>
    <w:rsid w:val="00F533A4"/>
    <w:rsid w:val="00FC55DC"/>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130"/>
  <w15:docId w15:val="{98445DB1-3A6F-438B-869B-9BD3819C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Helbert</dc:creator>
  <cp:lastModifiedBy>Helbert, Jodi M</cp:lastModifiedBy>
  <cp:revision>5</cp:revision>
  <dcterms:created xsi:type="dcterms:W3CDTF">2023-09-13T21:28:00Z</dcterms:created>
  <dcterms:modified xsi:type="dcterms:W3CDTF">2023-09-13T21:46:00Z</dcterms:modified>
</cp:coreProperties>
</file>